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EDE1" w14:textId="77777777" w:rsidR="00E0171C" w:rsidRPr="006B3029" w:rsidRDefault="00E0171C" w:rsidP="00E0171C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4E22CCF8" w14:textId="77777777" w:rsidR="00E0171C" w:rsidRPr="006B3029" w:rsidRDefault="00E0171C" w:rsidP="00E0171C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281E263B" w14:textId="77777777" w:rsidR="00E0171C" w:rsidRPr="006B3029" w:rsidRDefault="00E0171C" w:rsidP="00E0171C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27AD5AA2" w14:textId="77777777" w:rsidR="00E0171C" w:rsidRPr="006B3029" w:rsidRDefault="00E0171C" w:rsidP="00E0171C">
      <w:pPr>
        <w:spacing w:after="4" w:line="264" w:lineRule="auto"/>
        <w:ind w:left="-5" w:hanging="10"/>
      </w:pPr>
      <w:r w:rsidRPr="006B3029">
        <w:rPr>
          <w:b/>
          <w:color w:val="000000"/>
          <w:lang w:val="ro-RO"/>
        </w:rPr>
        <w:t>Conferențiar dr. Székely Gyöngyi</w:t>
      </w:r>
    </w:p>
    <w:p w14:paraId="407AD158" w14:textId="77777777" w:rsidR="00E0171C" w:rsidRPr="006B3029" w:rsidRDefault="00E0171C" w:rsidP="00E0171C"/>
    <w:p w14:paraId="42BDE44D" w14:textId="77777777" w:rsidR="00E0171C" w:rsidRPr="006B3029" w:rsidRDefault="00E0171C" w:rsidP="00E0171C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09EC34D1" w14:textId="77777777" w:rsidR="00E0171C" w:rsidRPr="006B3029" w:rsidRDefault="00E0171C" w:rsidP="00E0171C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45B2FD68" w14:textId="77777777" w:rsidR="00E0171C" w:rsidRPr="006B3029" w:rsidRDefault="00E0171C" w:rsidP="00E0171C">
      <w:pPr>
        <w:spacing w:line="320" w:lineRule="atLeast"/>
        <w:rPr>
          <w:noProof/>
          <w:lang w:val="ro-RO"/>
        </w:rPr>
      </w:pPr>
    </w:p>
    <w:p w14:paraId="7EB0638E" w14:textId="77777777" w:rsidR="00E0171C" w:rsidRPr="006B3029" w:rsidRDefault="00E0171C" w:rsidP="00E0171C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ind w:left="360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Teza de doctorat</w:t>
      </w:r>
    </w:p>
    <w:p w14:paraId="4FE84A8D" w14:textId="77777777" w:rsidR="00E0171C" w:rsidRPr="006B3029" w:rsidRDefault="00E0171C" w:rsidP="00E0171C">
      <w:pPr>
        <w:tabs>
          <w:tab w:val="center" w:pos="1003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58"/>
        </w:tabs>
        <w:spacing w:after="4"/>
        <w:ind w:right="3"/>
        <w:jc w:val="both"/>
        <w:rPr>
          <w:noProof/>
          <w:color w:val="000000"/>
          <w:lang w:val="ro-RO"/>
        </w:rPr>
      </w:pPr>
      <w:r w:rsidRPr="006B3029">
        <w:rPr>
          <w:noProof/>
          <w:color w:val="000000"/>
          <w:lang w:val="ro-RO"/>
        </w:rPr>
        <w:t>Székely G.: The regulatory roles of P5CS genes in Arabidopsis thaliana. Susţinută public în anul 2007 la Universitatea de Științe din Szeged, Ungaria. Coordonator Dr. Szabados Laszló.</w:t>
      </w:r>
    </w:p>
    <w:p w14:paraId="1D80E8C1" w14:textId="77777777" w:rsidR="00E0171C" w:rsidRPr="006B3029" w:rsidRDefault="00E0171C" w:rsidP="00E0171C">
      <w:p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</w:p>
    <w:p w14:paraId="756DEC4E" w14:textId="77777777" w:rsidR="00E0171C" w:rsidRPr="006B3029" w:rsidRDefault="00E0171C" w:rsidP="00E0171C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150F7562" w14:textId="77777777" w:rsidR="00E0171C" w:rsidRPr="006B3029" w:rsidRDefault="00E0171C" w:rsidP="00E0171C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0D16EC9F" w14:textId="77777777" w:rsidR="00E0171C" w:rsidRPr="006B3029" w:rsidRDefault="00E0171C" w:rsidP="00E0171C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43805632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en-GB"/>
        </w:rPr>
        <w:t xml:space="preserve">Kis E, </w:t>
      </w:r>
      <w:r w:rsidRPr="006B3029">
        <w:rPr>
          <w:b/>
          <w:bCs/>
          <w:noProof/>
          <w:lang w:val="hu"/>
        </w:rPr>
        <w:t xml:space="preserve">Székely G </w:t>
      </w:r>
      <w:r w:rsidRPr="006B3029">
        <w:rPr>
          <w:noProof/>
          <w:lang w:val="hu"/>
        </w:rPr>
        <w:t xml:space="preserve">(2016) </w:t>
      </w:r>
      <w:r w:rsidRPr="006B3029">
        <w:rPr>
          <w:i/>
          <w:iCs/>
          <w:noProof/>
          <w:lang w:val="en-GB"/>
        </w:rPr>
        <w:t xml:space="preserve">Survey upon the Living Habits of Romanian but Hungarian Nationality Students Major in Biology and Physical Education. </w:t>
      </w:r>
      <w:r w:rsidRPr="006B3029">
        <w:rPr>
          <w:noProof/>
          <w:color w:val="000000"/>
          <w:lang w:val="en-GB"/>
        </w:rPr>
        <w:t xml:space="preserve">Studia Universitatis Babeş-Bolyai, Biologia, 61(1): 177-189 </w:t>
      </w:r>
      <w:r w:rsidRPr="006B3029">
        <w:rPr>
          <w:noProof/>
          <w:lang w:val="en-GB"/>
        </w:rPr>
        <w:t>CNCSIS B+</w:t>
      </w:r>
    </w:p>
    <w:p w14:paraId="2D778C1D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ro-RO"/>
        </w:rPr>
        <w:t xml:space="preserve">Réti KO, Macalik K, Carpa R, Kis E, </w:t>
      </w:r>
      <w:r w:rsidRPr="006B3029">
        <w:rPr>
          <w:b/>
          <w:bCs/>
          <w:noProof/>
          <w:lang w:val="ro-RO"/>
        </w:rPr>
        <w:t>Székely G</w:t>
      </w:r>
      <w:r w:rsidRPr="006B3029">
        <w:rPr>
          <w:noProof/>
          <w:lang w:val="ro-RO"/>
        </w:rPr>
        <w:t xml:space="preserve"> (2016)</w:t>
      </w:r>
      <w:r w:rsidRPr="006B3029">
        <w:rPr>
          <w:b/>
          <w:bCs/>
          <w:noProof/>
          <w:lang w:val="ro-RO"/>
        </w:rPr>
        <w:t xml:space="preserve"> </w:t>
      </w:r>
      <w:r w:rsidRPr="006B3029">
        <w:rPr>
          <w:i/>
          <w:iCs/>
          <w:noProof/>
          <w:lang w:val="ro-RO"/>
        </w:rPr>
        <w:t>Physico-chemical properties of soils populated with wild halophytes in some Romanian areas.</w:t>
      </w:r>
      <w:r w:rsidRPr="006B3029">
        <w:rPr>
          <w:noProof/>
          <w:color w:val="000000"/>
          <w:lang w:val="ro-RO"/>
        </w:rPr>
        <w:t xml:space="preserve"> </w:t>
      </w:r>
      <w:r w:rsidRPr="006B3029">
        <w:rPr>
          <w:noProof/>
          <w:color w:val="000000"/>
          <w:lang w:val="en-GB"/>
        </w:rPr>
        <w:t xml:space="preserve">Studia Universitatis Babeş-Bolyai, Biologia, 61(2): 107-116 </w:t>
      </w:r>
      <w:r w:rsidRPr="006B3029">
        <w:rPr>
          <w:noProof/>
          <w:lang w:val="en-GB"/>
        </w:rPr>
        <w:t>CNCSIS B+</w:t>
      </w:r>
    </w:p>
    <w:p w14:paraId="5E47071B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en-GB"/>
        </w:rPr>
        <w:t>Carpa R, R</w:t>
      </w:r>
      <w:r w:rsidRPr="006B3029">
        <w:rPr>
          <w:noProof/>
          <w:lang w:val="hu"/>
        </w:rPr>
        <w:t>é</w:t>
      </w:r>
      <w:r w:rsidRPr="006B3029">
        <w:rPr>
          <w:noProof/>
          <w:lang w:val="en-GB"/>
        </w:rPr>
        <w:t>ti K, Macalik K, T</w:t>
      </w:r>
      <w:r w:rsidRPr="006B3029">
        <w:rPr>
          <w:noProof/>
          <w:lang w:val="hu"/>
        </w:rPr>
        <w:t xml:space="preserve">örök E, Remizovschi A, </w:t>
      </w:r>
      <w:r w:rsidRPr="006B3029">
        <w:rPr>
          <w:b/>
          <w:bCs/>
          <w:noProof/>
          <w:lang w:val="en-GB"/>
        </w:rPr>
        <w:t>Sz</w:t>
      </w:r>
      <w:r w:rsidRPr="006B3029">
        <w:rPr>
          <w:b/>
          <w:bCs/>
          <w:noProof/>
          <w:lang w:val="hu"/>
        </w:rPr>
        <w:t>ékely</w:t>
      </w:r>
      <w:r w:rsidRPr="006B3029">
        <w:rPr>
          <w:b/>
          <w:bCs/>
          <w:noProof/>
          <w:lang w:val="en-GB"/>
        </w:rPr>
        <w:t xml:space="preserve"> G</w:t>
      </w:r>
      <w:r w:rsidRPr="006B3029">
        <w:rPr>
          <w:noProof/>
          <w:lang w:val="en-GB"/>
        </w:rPr>
        <w:t xml:space="preserve"> (2017) </w:t>
      </w:r>
      <w:r w:rsidRPr="006B3029">
        <w:rPr>
          <w:i/>
          <w:iCs/>
          <w:noProof/>
          <w:lang w:val="en-GB"/>
        </w:rPr>
        <w:t>Influence of salt content on enzymatic activities and halophytes distribution in Cojocna zone, Romania</w:t>
      </w:r>
      <w:r w:rsidRPr="006B3029">
        <w:rPr>
          <w:noProof/>
          <w:lang w:val="en-GB"/>
        </w:rPr>
        <w:t xml:space="preserve">. </w:t>
      </w:r>
      <w:r w:rsidRPr="006B3029">
        <w:rPr>
          <w:noProof/>
          <w:color w:val="000000"/>
          <w:lang w:val="en-GB"/>
        </w:rPr>
        <w:t xml:space="preserve">Studia Universitatis Babeş-Bolyai, Biologia, 62(2): 21-32 </w:t>
      </w:r>
      <w:r w:rsidRPr="006B3029">
        <w:rPr>
          <w:noProof/>
          <w:lang w:val="en-GB"/>
        </w:rPr>
        <w:t>CNCSIS B+</w:t>
      </w:r>
    </w:p>
    <w:p w14:paraId="65E87717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color w:val="26282A"/>
          <w:lang w:val="en-GB"/>
        </w:rPr>
        <w:t xml:space="preserve">Fábián I, Török E, Podar D, </w:t>
      </w:r>
      <w:r w:rsidRPr="006B3029">
        <w:rPr>
          <w:b/>
          <w:bCs/>
          <w:noProof/>
          <w:color w:val="26282A"/>
          <w:lang w:val="en-GB"/>
        </w:rPr>
        <w:t>Székely G</w:t>
      </w:r>
      <w:r w:rsidRPr="006B3029">
        <w:rPr>
          <w:noProof/>
          <w:color w:val="26282A"/>
          <w:lang w:val="en-GB"/>
        </w:rPr>
        <w:t xml:space="preserve"> (2018) </w:t>
      </w:r>
      <w:r w:rsidRPr="006B3029">
        <w:rPr>
          <w:i/>
          <w:iCs/>
          <w:noProof/>
          <w:color w:val="000000"/>
          <w:lang w:val="en-GB"/>
        </w:rPr>
        <w:t>Plant ascorbate peroxidase: molecular phylogeny and role in oxidative stress</w:t>
      </w:r>
      <w:r w:rsidRPr="006B3029">
        <w:rPr>
          <w:noProof/>
          <w:color w:val="000000"/>
          <w:lang w:val="en-GB"/>
        </w:rPr>
        <w:t xml:space="preserve">. </w:t>
      </w:r>
      <w:r w:rsidRPr="006B3029">
        <w:rPr>
          <w:noProof/>
          <w:color w:val="26282A"/>
          <w:lang w:val="it"/>
        </w:rPr>
        <w:t xml:space="preserve">Studia Universitatis Babeș – Bolyai, Biologia, 63(2): 153-168 </w:t>
      </w:r>
      <w:r w:rsidRPr="006B3029">
        <w:rPr>
          <w:noProof/>
          <w:lang w:val="en-GB"/>
        </w:rPr>
        <w:t>CNCSIS B+</w:t>
      </w:r>
    </w:p>
    <w:p w14:paraId="222D96DB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en-GB"/>
        </w:rPr>
        <w:t xml:space="preserve">Podar D, Macalik K, </w:t>
      </w:r>
      <w:r w:rsidRPr="006B3029">
        <w:rPr>
          <w:noProof/>
          <w:lang w:val="hu"/>
        </w:rPr>
        <w:t xml:space="preserve">Réti KO, Martonos I, Török E, Carpa R, Weindorf DC, Csiszár J, </w:t>
      </w:r>
      <w:r w:rsidRPr="006B3029">
        <w:rPr>
          <w:b/>
          <w:bCs/>
          <w:noProof/>
          <w:lang w:val="hu"/>
        </w:rPr>
        <w:t>Székely G</w:t>
      </w:r>
      <w:r w:rsidRPr="006B3029">
        <w:rPr>
          <w:noProof/>
          <w:lang w:val="hu"/>
        </w:rPr>
        <w:t xml:space="preserve"> (2019) </w:t>
      </w:r>
      <w:r w:rsidRPr="006B3029">
        <w:rPr>
          <w:i/>
          <w:iCs/>
          <w:noProof/>
          <w:lang w:val="hu"/>
        </w:rPr>
        <w:t>Morphological, physiological and biochemical aspects of salt tolerance of halophyte Petrosimonia triandra grown in natural habitat</w:t>
      </w:r>
      <w:r w:rsidRPr="006B3029">
        <w:rPr>
          <w:noProof/>
          <w:lang w:val="hu"/>
        </w:rPr>
        <w:t>. Physiology and Molecular Biology of Plants, 25(6):</w:t>
      </w:r>
      <w:r w:rsidRPr="006B3029">
        <w:rPr>
          <w:noProof/>
          <w:lang w:val="en-GB"/>
        </w:rPr>
        <w:t xml:space="preserve"> 1335-1347. doi:</w:t>
      </w:r>
      <w:hyperlink r:id="rId5">
        <w:r w:rsidRPr="006B3029">
          <w:rPr>
            <w:rStyle w:val="Hyperlink"/>
            <w:noProof/>
            <w:color w:val="0441BC"/>
            <w:lang w:val="en-GB"/>
          </w:rPr>
          <w:t xml:space="preserve"> https://doi.org/10.1007/s12298-019-00697-x</w:t>
        </w:r>
      </w:hyperlink>
      <w:r w:rsidRPr="006B3029">
        <w:rPr>
          <w:noProof/>
          <w:lang w:val="en-GB"/>
        </w:rPr>
        <w:t xml:space="preserve">. </w:t>
      </w:r>
      <w:r w:rsidRPr="006B3029">
        <w:rPr>
          <w:b/>
          <w:bCs/>
          <w:noProof/>
          <w:lang w:val="en-GB"/>
        </w:rPr>
        <w:t>IF: 2.005; AI: 0.366</w:t>
      </w:r>
    </w:p>
    <w:p w14:paraId="4A011FCE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en-GB"/>
        </w:rPr>
        <w:t xml:space="preserve">Fodor A, Abate BA, Deák P, Fodor L, Gyenge E, Klein MG, Koncz Z, Muvevi J, Ötvös L, </w:t>
      </w:r>
      <w:r w:rsidRPr="006B3029">
        <w:rPr>
          <w:b/>
          <w:bCs/>
          <w:noProof/>
          <w:lang w:val="en-GB"/>
        </w:rPr>
        <w:t>Székely G</w:t>
      </w:r>
      <w:r w:rsidRPr="006B3029">
        <w:rPr>
          <w:noProof/>
          <w:lang w:val="en-GB"/>
        </w:rPr>
        <w:t xml:space="preserve">, Vozik D, Makrai L (2020) </w:t>
      </w:r>
      <w:r w:rsidRPr="006B3029">
        <w:rPr>
          <w:i/>
          <w:iCs/>
          <w:noProof/>
          <w:lang w:val="en-GB"/>
        </w:rPr>
        <w:t>Multidrug resistance (MDR) and collateral sensitivity in bacteria, with special attention to genetic and evolutionary aspects and to the perspectives of antimicrobial peptides—a review</w:t>
      </w:r>
      <w:r w:rsidRPr="006B3029">
        <w:rPr>
          <w:noProof/>
          <w:lang w:val="en-GB"/>
        </w:rPr>
        <w:t xml:space="preserve">. Pathogens, 9(7): 522. </w:t>
      </w:r>
      <w:hyperlink r:id="rId6">
        <w:r w:rsidRPr="006B3029">
          <w:rPr>
            <w:rStyle w:val="Hyperlink"/>
            <w:noProof/>
            <w:lang w:val="en-GB"/>
          </w:rPr>
          <w:t xml:space="preserve">doi: </w:t>
        </w:r>
        <w:r w:rsidRPr="006B3029">
          <w:rPr>
            <w:rStyle w:val="Hyperlink"/>
            <w:noProof/>
            <w:color w:val="0441BC"/>
            <w:lang w:val="en-GB"/>
          </w:rPr>
          <w:t>https://doi.org/10.3390/pathogens9070522</w:t>
        </w:r>
      </w:hyperlink>
      <w:r w:rsidRPr="006B3029">
        <w:rPr>
          <w:noProof/>
          <w:color w:val="000000"/>
          <w:lang w:val="en-GB"/>
        </w:rPr>
        <w:t>.</w:t>
      </w:r>
      <w:r w:rsidRPr="006B3029">
        <w:rPr>
          <w:b/>
          <w:bCs/>
          <w:noProof/>
          <w:color w:val="000000"/>
          <w:lang w:val="en-GB"/>
        </w:rPr>
        <w:t xml:space="preserve"> </w:t>
      </w:r>
      <w:r w:rsidRPr="006B3029">
        <w:rPr>
          <w:b/>
          <w:bCs/>
          <w:noProof/>
          <w:lang w:val="en-GB"/>
        </w:rPr>
        <w:t>IF: 3.492; AI: 0.905</w:t>
      </w:r>
    </w:p>
    <w:p w14:paraId="282E1048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b/>
          <w:bCs/>
          <w:noProof/>
          <w:lang w:val="en-GB"/>
        </w:rPr>
        <w:t>Székely G</w:t>
      </w:r>
      <w:r w:rsidRPr="006B3029">
        <w:rPr>
          <w:noProof/>
          <w:lang w:val="en-GB"/>
        </w:rPr>
        <w:t xml:space="preserve">, Barta C (2022) </w:t>
      </w:r>
      <w:r w:rsidRPr="006B3029">
        <w:rPr>
          <w:i/>
          <w:iCs/>
          <w:noProof/>
          <w:lang w:val="en-GB"/>
        </w:rPr>
        <w:t>Plant growth promoting rhizobacteria – biotechnological tools to improve cereal yield</w:t>
      </w:r>
      <w:r w:rsidRPr="006B3029">
        <w:rPr>
          <w:noProof/>
          <w:lang w:val="en-GB"/>
        </w:rPr>
        <w:t xml:space="preserve">, Hungarian Journal of Industry and Chemistry, 50(1): 11-14. doi: </w:t>
      </w:r>
      <w:hyperlink r:id="rId7">
        <w:r w:rsidRPr="006B3029">
          <w:rPr>
            <w:rStyle w:val="Hyperlink"/>
            <w:noProof/>
            <w:color w:val="0441BC"/>
            <w:lang w:val="en-GB"/>
          </w:rPr>
          <w:t>https://doi.org/10.33927/hjic-2022-03</w:t>
        </w:r>
      </w:hyperlink>
      <w:r w:rsidRPr="006B3029">
        <w:rPr>
          <w:noProof/>
          <w:color w:val="000000"/>
          <w:lang w:val="en-GB"/>
        </w:rPr>
        <w:t>.</w:t>
      </w:r>
      <w:r w:rsidRPr="006B3029">
        <w:rPr>
          <w:rFonts w:eastAsia="Segoe UI"/>
          <w:noProof/>
          <w:color w:val="000000"/>
          <w:lang w:val="en-GB"/>
        </w:rPr>
        <w:t xml:space="preserve"> </w:t>
      </w:r>
      <w:r w:rsidRPr="006B3029">
        <w:rPr>
          <w:b/>
          <w:bCs/>
          <w:noProof/>
          <w:lang w:val="en-GB"/>
        </w:rPr>
        <w:t>IF: 0.2</w:t>
      </w:r>
      <w:r w:rsidRPr="006B3029">
        <w:rPr>
          <w:b/>
          <w:bCs/>
          <w:noProof/>
          <w:lang w:val="ro-RO"/>
        </w:rPr>
        <w:t>; AI: 0.027</w:t>
      </w:r>
    </w:p>
    <w:p w14:paraId="0A3369F5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b/>
          <w:bCs/>
          <w:noProof/>
          <w:lang w:val="en-GB"/>
        </w:rPr>
        <w:t>Székely G</w:t>
      </w:r>
      <w:r w:rsidRPr="006B3029">
        <w:rPr>
          <w:noProof/>
          <w:lang w:val="en-GB"/>
        </w:rPr>
        <w:t xml:space="preserve">, Szígyártó NZ, Tóth A, Barta C (2022) </w:t>
      </w:r>
      <w:r w:rsidRPr="006B3029">
        <w:rPr>
          <w:i/>
          <w:iCs/>
          <w:noProof/>
          <w:lang w:val="en-GB"/>
        </w:rPr>
        <w:t>The rhizosphere of Petrosimonia triandra may posess growth inducing and salinity tolerance potential</w:t>
      </w:r>
      <w:r w:rsidRPr="006B3029">
        <w:rPr>
          <w:noProof/>
          <w:lang w:val="en-GB"/>
        </w:rPr>
        <w:t xml:space="preserve">, Hungarian </w:t>
      </w:r>
      <w:r w:rsidRPr="006B3029">
        <w:rPr>
          <w:noProof/>
          <w:lang w:val="en-GB"/>
        </w:rPr>
        <w:lastRenderedPageBreak/>
        <w:t xml:space="preserve">Journal of Industry and Chemistry, 50(2): 11-15. doi: </w:t>
      </w:r>
      <w:hyperlink r:id="rId8">
        <w:r w:rsidRPr="006B3029">
          <w:rPr>
            <w:rStyle w:val="Hyperlink"/>
            <w:noProof/>
            <w:color w:val="0441BC"/>
            <w:lang w:val="en-GB"/>
          </w:rPr>
          <w:t>https://doi.org/10.33927/hjic-2022-12</w:t>
        </w:r>
      </w:hyperlink>
      <w:r w:rsidRPr="006B3029">
        <w:rPr>
          <w:noProof/>
          <w:lang w:val="en-GB"/>
        </w:rPr>
        <w:t xml:space="preserve">. </w:t>
      </w:r>
      <w:r w:rsidRPr="006B3029">
        <w:rPr>
          <w:b/>
          <w:bCs/>
          <w:noProof/>
          <w:lang w:val="en-GB"/>
        </w:rPr>
        <w:t>IF: 0.2</w:t>
      </w:r>
      <w:r w:rsidRPr="006B3029">
        <w:rPr>
          <w:b/>
          <w:bCs/>
          <w:noProof/>
          <w:lang w:val="ro-RO"/>
        </w:rPr>
        <w:t>; AI: 0.027</w:t>
      </w:r>
    </w:p>
    <w:p w14:paraId="7174A0A3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rPr>
          <w:noProof/>
          <w:lang w:val="ro-RO"/>
        </w:rPr>
        <w:t xml:space="preserve">Barta CÉ, Jenkins BC, Lindstrom DS, Zahnd AK, </w:t>
      </w:r>
      <w:r w:rsidRPr="006B3029">
        <w:rPr>
          <w:b/>
          <w:bCs/>
          <w:noProof/>
          <w:lang w:val="ro-RO"/>
        </w:rPr>
        <w:t>Székely G</w:t>
      </w:r>
      <w:r w:rsidRPr="006B3029">
        <w:rPr>
          <w:noProof/>
          <w:lang w:val="ro-RO"/>
        </w:rPr>
        <w:t xml:space="preserve"> (2023) </w:t>
      </w:r>
      <w:r w:rsidRPr="006B3029">
        <w:rPr>
          <w:i/>
          <w:iCs/>
          <w:noProof/>
          <w:lang w:val="ro-RO"/>
        </w:rPr>
        <w:t xml:space="preserve">The first evidence of gibberellic acid's ability to modulate target species’ sensitivity to honeysuckle (Lonicera maackii) allelochemicals, </w:t>
      </w:r>
      <w:r w:rsidRPr="006B3029">
        <w:rPr>
          <w:noProof/>
          <w:lang w:val="ro-RO"/>
        </w:rPr>
        <w:t xml:space="preserve">Plants, 12(5). doi: </w:t>
      </w:r>
      <w:hyperlink r:id="rId9">
        <w:r w:rsidRPr="006B3029">
          <w:rPr>
            <w:rStyle w:val="Hyperlink"/>
            <w:noProof/>
            <w:lang w:val="ro-RO"/>
          </w:rPr>
          <w:t>https://doi.org/10.3390/plants12051014</w:t>
        </w:r>
      </w:hyperlink>
      <w:r w:rsidRPr="006B3029">
        <w:rPr>
          <w:noProof/>
          <w:lang w:val="ro-RO"/>
        </w:rPr>
        <w:t xml:space="preserve">. </w:t>
      </w:r>
      <w:r w:rsidRPr="006B3029">
        <w:rPr>
          <w:b/>
          <w:bCs/>
          <w:noProof/>
          <w:lang w:val="ro-RO"/>
        </w:rPr>
        <w:t>IF: 4.00; AI: 0.618</w:t>
      </w:r>
    </w:p>
    <w:p w14:paraId="224375BE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t xml:space="preserve">Székely G, Barta CÉ (2024) Halophytes and proline: a promising possibility for heavy </w:t>
      </w:r>
    </w:p>
    <w:p w14:paraId="1108BC7D" w14:textId="77777777" w:rsidR="00E0171C" w:rsidRPr="006B3029" w:rsidRDefault="00E0171C" w:rsidP="00E0171C">
      <w:pPr>
        <w:spacing w:line="276" w:lineRule="auto"/>
        <w:ind w:left="720"/>
        <w:jc w:val="both"/>
      </w:pPr>
      <w:r w:rsidRPr="006B3029">
        <w:t xml:space="preserve">metal remediation and agricultural restoration, Hungarian Journal of Industry and </w:t>
      </w:r>
    </w:p>
    <w:p w14:paraId="1733BF4F" w14:textId="77777777" w:rsidR="00E0171C" w:rsidRPr="006B3029" w:rsidRDefault="00E0171C" w:rsidP="00E0171C">
      <w:pPr>
        <w:spacing w:line="276" w:lineRule="auto"/>
        <w:ind w:left="720"/>
        <w:jc w:val="both"/>
      </w:pPr>
      <w:r w:rsidRPr="006B3029">
        <w:t xml:space="preserve">Chemistry, 52(2): 63-67. </w:t>
      </w:r>
      <w:proofErr w:type="spellStart"/>
      <w:r w:rsidRPr="006B3029">
        <w:t>doi</w:t>
      </w:r>
      <w:proofErr w:type="spellEnd"/>
      <w:r w:rsidRPr="006B3029">
        <w:t>: https://doi.org/10.33927/hjic-2024-20. IF: 0.5; AI: 0.05</w:t>
      </w:r>
    </w:p>
    <w:p w14:paraId="373F0082" w14:textId="77777777" w:rsidR="00E0171C" w:rsidRPr="006B3029" w:rsidRDefault="00E0171C" w:rsidP="00E0171C">
      <w:pPr>
        <w:numPr>
          <w:ilvl w:val="0"/>
          <w:numId w:val="2"/>
        </w:numPr>
        <w:spacing w:line="276" w:lineRule="auto"/>
        <w:jc w:val="both"/>
      </w:pPr>
      <w:r w:rsidRPr="006B3029">
        <w:t xml:space="preserve">Székely G, Barta C (2025) Harnessing halophyte‐derived allelochemicals and signaling </w:t>
      </w:r>
    </w:p>
    <w:p w14:paraId="070347A8" w14:textId="77777777" w:rsidR="00E0171C" w:rsidRPr="006B3029" w:rsidRDefault="00E0171C" w:rsidP="00E0171C">
      <w:pPr>
        <w:spacing w:line="276" w:lineRule="auto"/>
        <w:ind w:left="720"/>
        <w:jc w:val="both"/>
      </w:pPr>
      <w:r w:rsidRPr="006B3029">
        <w:t>molecules to enhance salinity stress tolerance in crops. American Journal of Botany, 112:</w:t>
      </w:r>
    </w:p>
    <w:p w14:paraId="23E0B600" w14:textId="77777777" w:rsidR="00E0171C" w:rsidRPr="006B3029" w:rsidRDefault="00E0171C" w:rsidP="00E0171C">
      <w:pPr>
        <w:spacing w:line="276" w:lineRule="auto"/>
        <w:ind w:left="720"/>
        <w:jc w:val="both"/>
      </w:pPr>
      <w:r w:rsidRPr="006B3029">
        <w:t xml:space="preserve">e70076. </w:t>
      </w:r>
      <w:proofErr w:type="spellStart"/>
      <w:r w:rsidRPr="006B3029">
        <w:t>doi</w:t>
      </w:r>
      <w:proofErr w:type="spellEnd"/>
      <w:r w:rsidRPr="006B3029">
        <w:t>: https://doi.org/10.1002/ajb2.70076. IF: 2.7; AI: 0.937</w:t>
      </w:r>
    </w:p>
    <w:p w14:paraId="7EB2D9CA" w14:textId="77777777" w:rsidR="00E0171C" w:rsidRPr="006B3029" w:rsidRDefault="00E0171C" w:rsidP="00E0171C">
      <w:pPr>
        <w:spacing w:line="276" w:lineRule="auto"/>
        <w:ind w:left="720"/>
        <w:jc w:val="both"/>
      </w:pPr>
    </w:p>
    <w:p w14:paraId="2E5A18A3" w14:textId="77777777" w:rsidR="00E0171C" w:rsidRPr="006B3029" w:rsidRDefault="00E0171C" w:rsidP="00E0171C">
      <w:pPr>
        <w:tabs>
          <w:tab w:val="left" w:pos="142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lang w:val="ro-RO"/>
        </w:rPr>
        <w:tab/>
      </w:r>
      <w:r w:rsidRPr="006B3029">
        <w:rPr>
          <w:lang w:val="ro-RO"/>
        </w:rPr>
        <w:tab/>
      </w:r>
      <w:r w:rsidRPr="006B3029">
        <w:rPr>
          <w:b/>
          <w:bCs/>
          <w:noProof/>
          <w:lang w:val="ro-RO"/>
        </w:rPr>
        <w:t>Data:</w:t>
      </w:r>
      <w:r w:rsidRPr="006B3029">
        <w:tab/>
      </w:r>
      <w:r w:rsidRPr="006B3029">
        <w:rPr>
          <w:b/>
          <w:bCs/>
          <w:noProof/>
          <w:lang w:val="ro-RO"/>
        </w:rPr>
        <w:t>31.10.2025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>Semnătura:</w:t>
      </w:r>
    </w:p>
    <w:p w14:paraId="5170019A" w14:textId="68C64813" w:rsidR="00E0171C" w:rsidRPr="006B3029" w:rsidRDefault="00E0171C" w:rsidP="00E0171C">
      <w:pPr>
        <w:spacing w:line="320" w:lineRule="atLeast"/>
        <w:ind w:left="5760" w:firstLine="720"/>
      </w:pPr>
    </w:p>
    <w:p w14:paraId="50FA495C" w14:textId="77777777" w:rsidR="00E0171C" w:rsidRPr="006B3029" w:rsidRDefault="00E0171C" w:rsidP="00E0171C">
      <w:pPr>
        <w:spacing w:line="320" w:lineRule="atLeast"/>
        <w:ind w:left="360"/>
        <w:rPr>
          <w:noProof/>
          <w:lang w:val="ro-RO"/>
        </w:rPr>
      </w:pPr>
      <w:r w:rsidRPr="006B3029">
        <w:rPr>
          <w:lang w:val="ro-RO"/>
        </w:rPr>
        <w:t>E – Brevete (pentru întreaga activitate)</w:t>
      </w:r>
    </w:p>
    <w:p w14:paraId="2CDD3526" w14:textId="77777777" w:rsidR="00E0171C" w:rsidRPr="006B3029" w:rsidRDefault="00E0171C" w:rsidP="00E0171C">
      <w:pPr>
        <w:spacing w:line="320" w:lineRule="atLeast"/>
        <w:ind w:left="360"/>
        <w:rPr>
          <w:lang w:val="ro-RO"/>
        </w:rPr>
      </w:pPr>
    </w:p>
    <w:p w14:paraId="3D4CCDC5" w14:textId="77777777" w:rsidR="00E0171C" w:rsidRPr="006B3029" w:rsidRDefault="00E0171C" w:rsidP="00E0171C">
      <w:pPr>
        <w:tabs>
          <w:tab w:val="left" w:pos="142"/>
        </w:tabs>
        <w:spacing w:line="320" w:lineRule="atLeast"/>
        <w:ind w:firstLine="720"/>
        <w:jc w:val="both"/>
        <w:rPr>
          <w:b/>
          <w:bCs/>
          <w:noProof/>
          <w:lang w:val="ro-RO"/>
        </w:rPr>
      </w:pPr>
    </w:p>
    <w:p w14:paraId="19C1F9C6" w14:textId="77777777" w:rsidR="00E0171C" w:rsidRDefault="00E0171C"/>
    <w:sectPr w:rsidR="00E01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7AAA"/>
    <w:multiLevelType w:val="hybridMultilevel"/>
    <w:tmpl w:val="6D1E829E"/>
    <w:lvl w:ilvl="0" w:tplc="3132A6E8">
      <w:start w:val="1"/>
      <w:numFmt w:val="upperLetter"/>
      <w:lvlText w:val="%1."/>
      <w:lvlJc w:val="left"/>
      <w:pPr>
        <w:ind w:left="720" w:hanging="360"/>
      </w:pPr>
    </w:lvl>
    <w:lvl w:ilvl="1" w:tplc="B9EC12BC">
      <w:start w:val="1"/>
      <w:numFmt w:val="lowerLetter"/>
      <w:lvlText w:val="%2."/>
      <w:lvlJc w:val="left"/>
      <w:pPr>
        <w:ind w:left="1440" w:hanging="360"/>
      </w:pPr>
    </w:lvl>
    <w:lvl w:ilvl="2" w:tplc="0DD027D2">
      <w:start w:val="1"/>
      <w:numFmt w:val="lowerRoman"/>
      <w:lvlText w:val="%3."/>
      <w:lvlJc w:val="right"/>
      <w:pPr>
        <w:ind w:left="2160" w:hanging="180"/>
      </w:pPr>
    </w:lvl>
    <w:lvl w:ilvl="3" w:tplc="F4FE6A2A">
      <w:start w:val="1"/>
      <w:numFmt w:val="decimal"/>
      <w:lvlText w:val="%4."/>
      <w:lvlJc w:val="left"/>
      <w:pPr>
        <w:ind w:left="2880" w:hanging="360"/>
      </w:pPr>
    </w:lvl>
    <w:lvl w:ilvl="4" w:tplc="36E419AA">
      <w:start w:val="1"/>
      <w:numFmt w:val="lowerLetter"/>
      <w:lvlText w:val="%5."/>
      <w:lvlJc w:val="left"/>
      <w:pPr>
        <w:ind w:left="3600" w:hanging="360"/>
      </w:pPr>
    </w:lvl>
    <w:lvl w:ilvl="5" w:tplc="05C84670">
      <w:start w:val="1"/>
      <w:numFmt w:val="lowerRoman"/>
      <w:lvlText w:val="%6."/>
      <w:lvlJc w:val="right"/>
      <w:pPr>
        <w:ind w:left="4320" w:hanging="180"/>
      </w:pPr>
    </w:lvl>
    <w:lvl w:ilvl="6" w:tplc="CCD0DD68">
      <w:start w:val="1"/>
      <w:numFmt w:val="decimal"/>
      <w:lvlText w:val="%7."/>
      <w:lvlJc w:val="left"/>
      <w:pPr>
        <w:ind w:left="5040" w:hanging="360"/>
      </w:pPr>
    </w:lvl>
    <w:lvl w:ilvl="7" w:tplc="7BB69C86">
      <w:start w:val="1"/>
      <w:numFmt w:val="lowerLetter"/>
      <w:lvlText w:val="%8."/>
      <w:lvlJc w:val="left"/>
      <w:pPr>
        <w:ind w:left="5760" w:hanging="360"/>
      </w:pPr>
    </w:lvl>
    <w:lvl w:ilvl="8" w:tplc="614E78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7777B"/>
    <w:multiLevelType w:val="hybridMultilevel"/>
    <w:tmpl w:val="95EC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5C9B9A">
      <w:start w:val="1"/>
      <w:numFmt w:val="lowerLetter"/>
      <w:lvlText w:val="%2."/>
      <w:lvlJc w:val="left"/>
      <w:pPr>
        <w:ind w:left="1440" w:hanging="360"/>
      </w:pPr>
    </w:lvl>
    <w:lvl w:ilvl="2" w:tplc="CFCEC62E">
      <w:start w:val="1"/>
      <w:numFmt w:val="lowerRoman"/>
      <w:lvlText w:val="%3."/>
      <w:lvlJc w:val="right"/>
      <w:pPr>
        <w:ind w:left="2160" w:hanging="180"/>
      </w:pPr>
    </w:lvl>
    <w:lvl w:ilvl="3" w:tplc="4D9CB2D2">
      <w:start w:val="1"/>
      <w:numFmt w:val="decimal"/>
      <w:lvlText w:val="%4."/>
      <w:lvlJc w:val="left"/>
      <w:pPr>
        <w:ind w:left="2880" w:hanging="360"/>
      </w:pPr>
    </w:lvl>
    <w:lvl w:ilvl="4" w:tplc="AB9889B8">
      <w:start w:val="1"/>
      <w:numFmt w:val="lowerLetter"/>
      <w:lvlText w:val="%5."/>
      <w:lvlJc w:val="left"/>
      <w:pPr>
        <w:ind w:left="3600" w:hanging="360"/>
      </w:pPr>
    </w:lvl>
    <w:lvl w:ilvl="5" w:tplc="FB64C444">
      <w:start w:val="1"/>
      <w:numFmt w:val="lowerRoman"/>
      <w:lvlText w:val="%6."/>
      <w:lvlJc w:val="right"/>
      <w:pPr>
        <w:ind w:left="4320" w:hanging="180"/>
      </w:pPr>
    </w:lvl>
    <w:lvl w:ilvl="6" w:tplc="D7DE1612">
      <w:start w:val="1"/>
      <w:numFmt w:val="decimal"/>
      <w:lvlText w:val="%7."/>
      <w:lvlJc w:val="left"/>
      <w:pPr>
        <w:ind w:left="5040" w:hanging="360"/>
      </w:pPr>
    </w:lvl>
    <w:lvl w:ilvl="7" w:tplc="279AB2B8">
      <w:start w:val="1"/>
      <w:numFmt w:val="lowerLetter"/>
      <w:lvlText w:val="%8."/>
      <w:lvlJc w:val="left"/>
      <w:pPr>
        <w:ind w:left="5760" w:hanging="360"/>
      </w:pPr>
    </w:lvl>
    <w:lvl w:ilvl="8" w:tplc="EBB89C14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9518">
    <w:abstractNumId w:val="0"/>
  </w:num>
  <w:num w:numId="2" w16cid:durableId="196851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1C"/>
    <w:rsid w:val="006A34DE"/>
    <w:rsid w:val="00E0171C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6F89"/>
  <w15:chartTrackingRefBased/>
  <w15:docId w15:val="{7EB1D3F6-A4E4-482B-AC21-CED835E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1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1C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E0171C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uiPriority w:val="99"/>
    <w:rsid w:val="00E01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27/hjic-2022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27/hjic-2022-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pathogens90705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c-word-edit.officeapps.live.com/we/%20https:/doi.org/10.1007/s12298-019-00697-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plants1205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3064</Characters>
  <Application>Microsoft Office Word</Application>
  <DocSecurity>0</DocSecurity>
  <Lines>62</Lines>
  <Paragraphs>27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2026-01-20T08:49:00Z</dcterms:created>
  <dcterms:modified xsi:type="dcterms:W3CDTF">2026-01-20T08:49:00Z</dcterms:modified>
</cp:coreProperties>
</file>